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8B" w:rsidRDefault="0007108B" w:rsidP="005C1A54">
      <w:pPr>
        <w:rPr>
          <w:bCs/>
          <w:sz w:val="28"/>
          <w:szCs w:val="28"/>
        </w:rPr>
      </w:pPr>
    </w:p>
    <w:p w:rsidR="00D10E31" w:rsidRPr="006C7C55" w:rsidRDefault="00326A20" w:rsidP="005C1A54">
      <w:pPr>
        <w:rPr>
          <w:bCs/>
          <w:sz w:val="28"/>
          <w:szCs w:val="28"/>
        </w:rPr>
      </w:pPr>
      <w:bookmarkStart w:id="0" w:name="_GoBack"/>
      <w:bookmarkEnd w:id="0"/>
      <w:r w:rsidRPr="006C7C55">
        <w:rPr>
          <w:bCs/>
          <w:sz w:val="28"/>
          <w:szCs w:val="28"/>
        </w:rPr>
        <w:t xml:space="preserve">Art/Social Studies: First Nations </w:t>
      </w:r>
      <w:r w:rsidR="00087CF8" w:rsidRPr="006C7C55">
        <w:rPr>
          <w:bCs/>
          <w:sz w:val="28"/>
          <w:szCs w:val="28"/>
        </w:rPr>
        <w:t>Plasticine</w:t>
      </w:r>
      <w:r w:rsidRPr="006C7C55">
        <w:rPr>
          <w:bCs/>
          <w:sz w:val="28"/>
          <w:szCs w:val="28"/>
        </w:rPr>
        <w:t xml:space="preserve"> Totem Poles</w:t>
      </w:r>
      <w:r w:rsidR="00B33E56" w:rsidRPr="006C7C55">
        <w:rPr>
          <w:bCs/>
          <w:sz w:val="28"/>
          <w:szCs w:val="28"/>
        </w:rPr>
        <w:tab/>
      </w:r>
      <w:r w:rsidR="00D10E31" w:rsidRPr="006C7C55">
        <w:rPr>
          <w:bCs/>
          <w:sz w:val="28"/>
          <w:szCs w:val="28"/>
        </w:rPr>
        <w:tab/>
      </w:r>
      <w:r w:rsidR="00372424" w:rsidRPr="006C7C55">
        <w:rPr>
          <w:bCs/>
          <w:sz w:val="28"/>
          <w:szCs w:val="28"/>
        </w:rPr>
        <w:t>Grade 6</w:t>
      </w:r>
    </w:p>
    <w:p w:rsidR="00D10E31" w:rsidRPr="006C7C55" w:rsidRDefault="00DA06FB" w:rsidP="005C1A54">
      <w:pPr>
        <w:rPr>
          <w:bCs/>
          <w:sz w:val="28"/>
          <w:szCs w:val="28"/>
        </w:rPr>
      </w:pPr>
      <w:r w:rsidRPr="006C7C55">
        <w:rPr>
          <w:bCs/>
          <w:sz w:val="28"/>
          <w:szCs w:val="28"/>
        </w:rPr>
        <w:t>Lesson developed by Keith Devries</w:t>
      </w:r>
      <w:r w:rsidR="00D10E31" w:rsidRPr="006C7C55">
        <w:rPr>
          <w:bCs/>
          <w:sz w:val="28"/>
          <w:szCs w:val="28"/>
        </w:rPr>
        <w:t xml:space="preserve"> and Sarah Elminshaw</w:t>
      </w:r>
      <w:r w:rsidR="006C7C55">
        <w:rPr>
          <w:bCs/>
          <w:sz w:val="28"/>
          <w:szCs w:val="28"/>
        </w:rPr>
        <w:t>i, adapted from an activity by</w:t>
      </w:r>
      <w:r w:rsidR="00D10E31" w:rsidRPr="006C7C55">
        <w:rPr>
          <w:bCs/>
          <w:sz w:val="28"/>
          <w:szCs w:val="28"/>
        </w:rPr>
        <w:t xml:space="preserve"> </w:t>
      </w:r>
      <w:proofErr w:type="spellStart"/>
      <w:r w:rsidR="00D10E31" w:rsidRPr="006C7C55">
        <w:rPr>
          <w:bCs/>
          <w:sz w:val="28"/>
          <w:szCs w:val="28"/>
        </w:rPr>
        <w:t>Jaqui</w:t>
      </w:r>
      <w:proofErr w:type="spellEnd"/>
      <w:r w:rsidR="00D10E31" w:rsidRPr="006C7C55">
        <w:rPr>
          <w:bCs/>
          <w:sz w:val="28"/>
          <w:szCs w:val="28"/>
        </w:rPr>
        <w:t xml:space="preserve"> </w:t>
      </w:r>
      <w:proofErr w:type="spellStart"/>
      <w:r w:rsidR="00D10E31" w:rsidRPr="006C7C55">
        <w:rPr>
          <w:bCs/>
          <w:sz w:val="28"/>
          <w:szCs w:val="28"/>
        </w:rPr>
        <w:t>DePace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3686"/>
      </w:tblGrid>
      <w:tr w:rsidR="00825FDF" w:rsidRPr="00F823B8" w:rsidTr="001416D8">
        <w:tc>
          <w:tcPr>
            <w:tcW w:w="14459" w:type="dxa"/>
            <w:gridSpan w:val="2"/>
            <w:tcBorders>
              <w:top w:val="double" w:sz="4" w:space="0" w:color="auto"/>
              <w:left w:val="double" w:sz="4" w:space="0" w:color="auto"/>
              <w:right w:val="double" w:sz="4" w:space="0" w:color="auto"/>
            </w:tcBorders>
            <w:shd w:val="pct15" w:color="auto" w:fill="auto"/>
            <w:vAlign w:val="center"/>
          </w:tcPr>
          <w:p w:rsidR="00825FDF" w:rsidRPr="00F823B8" w:rsidRDefault="00246075" w:rsidP="00F823B8">
            <w:pPr>
              <w:rPr>
                <w:rFonts w:ascii="Perpetua Titling MT" w:hAnsi="Perpetua Titling MT"/>
                <w:bCs/>
              </w:rPr>
            </w:pPr>
            <w:r>
              <w:rPr>
                <w:rFonts w:ascii="Arial Rounded MT Bold" w:hAnsi="Arial Rounded MT Bold" w:cs="Arial Rounded MT Bold"/>
              </w:rPr>
              <w:t xml:space="preserve">  </w:t>
            </w:r>
            <w:r w:rsidR="00825FDF" w:rsidRPr="00F823B8">
              <w:rPr>
                <w:rFonts w:ascii="Perpetua Titling MT" w:hAnsi="Perpetua Titling MT"/>
                <w:bCs/>
              </w:rPr>
              <w:t>What Will You Teach?</w:t>
            </w:r>
          </w:p>
        </w:tc>
      </w:tr>
      <w:tr w:rsidR="00825FDF" w:rsidTr="001416D8">
        <w:trPr>
          <w:trHeight w:val="1114"/>
        </w:trPr>
        <w:tc>
          <w:tcPr>
            <w:tcW w:w="14459" w:type="dxa"/>
            <w:gridSpan w:val="2"/>
            <w:tcBorders>
              <w:left w:val="double" w:sz="4" w:space="0" w:color="auto"/>
              <w:bottom w:val="single" w:sz="4" w:space="0" w:color="auto"/>
              <w:right w:val="double" w:sz="4" w:space="0" w:color="auto"/>
            </w:tcBorders>
            <w:shd w:val="pct5" w:color="auto" w:fill="FFFFFF"/>
            <w:vAlign w:val="center"/>
          </w:tcPr>
          <w:p w:rsidR="00BA1245" w:rsidRPr="001910E9" w:rsidRDefault="00825FDF" w:rsidP="0021029B">
            <w:pPr>
              <w:rPr>
                <w:bCs/>
              </w:rPr>
            </w:pPr>
            <w:r w:rsidRPr="001910E9">
              <w:rPr>
                <w:bCs/>
              </w:rPr>
              <w:t xml:space="preserve">Expectation(s): </w:t>
            </w:r>
          </w:p>
          <w:p w:rsidR="0021029B" w:rsidRPr="001910E9" w:rsidRDefault="00D53C1F" w:rsidP="0021029B">
            <w:pPr>
              <w:rPr>
                <w:b/>
                <w:bCs/>
              </w:rPr>
            </w:pPr>
            <w:r w:rsidRPr="001910E9">
              <w:rPr>
                <w:b/>
                <w:bCs/>
              </w:rPr>
              <w:t>The Arts, Visual Arts</w:t>
            </w:r>
          </w:p>
          <w:p w:rsidR="00BA1245" w:rsidRPr="001910E9" w:rsidRDefault="00BA1245" w:rsidP="00BA1245">
            <w:pPr>
              <w:pStyle w:val="ListParagraph"/>
              <w:widowControl w:val="0"/>
              <w:numPr>
                <w:ilvl w:val="0"/>
                <w:numId w:val="40"/>
              </w:numPr>
              <w:autoSpaceDE w:val="0"/>
              <w:autoSpaceDN w:val="0"/>
              <w:adjustRightInd w:val="0"/>
              <w:spacing w:after="240"/>
              <w:rPr>
                <w:lang w:eastAsia="en-US"/>
              </w:rPr>
            </w:pPr>
            <w:r w:rsidRPr="001910E9">
              <w:rPr>
                <w:lang w:eastAsia="en-US"/>
              </w:rPr>
              <w:t xml:space="preserve">create two-dimensional, </w:t>
            </w:r>
            <w:r w:rsidRPr="001910E9">
              <w:rPr>
                <w:b/>
                <w:lang w:eastAsia="en-US"/>
              </w:rPr>
              <w:t>three-dimensional</w:t>
            </w:r>
            <w:r w:rsidRPr="001910E9">
              <w:rPr>
                <w:lang w:eastAsia="en-US"/>
              </w:rPr>
              <w:t xml:space="preserve">, and multimedia art works that </w:t>
            </w:r>
            <w:r w:rsidRPr="001910E9">
              <w:rPr>
                <w:b/>
                <w:lang w:eastAsia="en-US"/>
              </w:rPr>
              <w:t>explore feelings, ideas, and issues</w:t>
            </w:r>
            <w:r w:rsidRPr="001910E9">
              <w:rPr>
                <w:lang w:eastAsia="en-US"/>
              </w:rPr>
              <w:t xml:space="preserve"> from a variety of points of view</w:t>
            </w:r>
          </w:p>
          <w:p w:rsidR="00BA1245" w:rsidRPr="001910E9" w:rsidRDefault="00BA1245" w:rsidP="00BA1245">
            <w:pPr>
              <w:pStyle w:val="ListParagraph"/>
              <w:widowControl w:val="0"/>
              <w:numPr>
                <w:ilvl w:val="0"/>
                <w:numId w:val="40"/>
              </w:numPr>
              <w:autoSpaceDE w:val="0"/>
              <w:autoSpaceDN w:val="0"/>
              <w:adjustRightInd w:val="0"/>
              <w:spacing w:after="240"/>
              <w:rPr>
                <w:lang w:eastAsia="en-US"/>
              </w:rPr>
            </w:pPr>
            <w:r w:rsidRPr="001910E9">
              <w:rPr>
                <w:lang w:eastAsia="en-US"/>
              </w:rPr>
              <w:t xml:space="preserve">demonstrate an </w:t>
            </w:r>
            <w:r w:rsidRPr="001910E9">
              <w:rPr>
                <w:b/>
                <w:lang w:eastAsia="en-US"/>
              </w:rPr>
              <w:t>understanding of composition</w:t>
            </w:r>
            <w:r w:rsidRPr="001910E9">
              <w:rPr>
                <w:lang w:eastAsia="en-US"/>
              </w:rPr>
              <w:t xml:space="preserve">, using selected </w:t>
            </w:r>
            <w:r w:rsidRPr="001910E9">
              <w:rPr>
                <w:b/>
                <w:lang w:eastAsia="en-US"/>
              </w:rPr>
              <w:t>principles of design</w:t>
            </w:r>
            <w:r w:rsidRPr="001910E9">
              <w:rPr>
                <w:lang w:eastAsia="en-US"/>
              </w:rPr>
              <w:t xml:space="preserve"> to create narrative art works or art works on a theme or topic</w:t>
            </w:r>
          </w:p>
          <w:p w:rsidR="00BA1245" w:rsidRPr="001910E9" w:rsidRDefault="00BA1245" w:rsidP="00BA1245">
            <w:pPr>
              <w:pStyle w:val="ListParagraph"/>
              <w:widowControl w:val="0"/>
              <w:numPr>
                <w:ilvl w:val="0"/>
                <w:numId w:val="40"/>
              </w:numPr>
              <w:autoSpaceDE w:val="0"/>
              <w:autoSpaceDN w:val="0"/>
              <w:adjustRightInd w:val="0"/>
              <w:spacing w:after="240"/>
              <w:rPr>
                <w:lang w:eastAsia="en-US"/>
              </w:rPr>
            </w:pPr>
            <w:r w:rsidRPr="001910E9">
              <w:rPr>
                <w:lang w:eastAsia="en-US"/>
              </w:rPr>
              <w:t xml:space="preserve">use a </w:t>
            </w:r>
            <w:r w:rsidRPr="001910E9">
              <w:rPr>
                <w:b/>
                <w:lang w:eastAsia="en-US"/>
              </w:rPr>
              <w:t>variety of materials, tools, techniques</w:t>
            </w:r>
            <w:r w:rsidRPr="001910E9">
              <w:rPr>
                <w:lang w:eastAsia="en-US"/>
              </w:rPr>
              <w:t>, and technologies to determine solutions to design challenges</w:t>
            </w:r>
          </w:p>
          <w:p w:rsidR="00BA1245" w:rsidRPr="001910E9" w:rsidRDefault="00BA1245" w:rsidP="00BA1245">
            <w:pPr>
              <w:pStyle w:val="ListParagraph"/>
              <w:widowControl w:val="0"/>
              <w:numPr>
                <w:ilvl w:val="0"/>
                <w:numId w:val="40"/>
              </w:numPr>
              <w:autoSpaceDE w:val="0"/>
              <w:autoSpaceDN w:val="0"/>
              <w:adjustRightInd w:val="0"/>
              <w:spacing w:after="240"/>
              <w:rPr>
                <w:lang w:eastAsia="en-US"/>
              </w:rPr>
            </w:pPr>
            <w:r w:rsidRPr="001910E9">
              <w:rPr>
                <w:lang w:eastAsia="en-US"/>
              </w:rPr>
              <w:t xml:space="preserve">identify and describe some of the ways in which </w:t>
            </w:r>
            <w:r w:rsidRPr="001910E9">
              <w:rPr>
                <w:b/>
                <w:lang w:eastAsia="en-US"/>
              </w:rPr>
              <w:t>art forms and styles reflect the beliefs and traditions of a variety of communities, times, and places</w:t>
            </w:r>
          </w:p>
          <w:p w:rsidR="00BA1245" w:rsidRPr="001910E9" w:rsidRDefault="00BA1245" w:rsidP="00BA1245">
            <w:pPr>
              <w:widowControl w:val="0"/>
              <w:autoSpaceDE w:val="0"/>
              <w:autoSpaceDN w:val="0"/>
              <w:adjustRightInd w:val="0"/>
              <w:spacing w:after="240"/>
              <w:rPr>
                <w:b/>
                <w:lang w:eastAsia="en-US"/>
              </w:rPr>
            </w:pPr>
            <w:r w:rsidRPr="001910E9">
              <w:rPr>
                <w:b/>
                <w:lang w:eastAsia="en-US"/>
              </w:rPr>
              <w:t>Social Studies: Heritage and Citizenship</w:t>
            </w:r>
          </w:p>
          <w:p w:rsidR="00BA1245" w:rsidRPr="001910E9" w:rsidRDefault="00BA1245" w:rsidP="00BA1245">
            <w:pPr>
              <w:widowControl w:val="0"/>
              <w:numPr>
                <w:ilvl w:val="0"/>
                <w:numId w:val="42"/>
              </w:numPr>
              <w:tabs>
                <w:tab w:val="left" w:pos="220"/>
                <w:tab w:val="left" w:pos="720"/>
              </w:tabs>
              <w:autoSpaceDE w:val="0"/>
              <w:autoSpaceDN w:val="0"/>
              <w:adjustRightInd w:val="0"/>
              <w:spacing w:after="240"/>
              <w:ind w:left="714" w:hanging="357"/>
              <w:rPr>
                <w:lang w:eastAsia="en-US"/>
              </w:rPr>
            </w:pPr>
            <w:r w:rsidRPr="001910E9">
              <w:rPr>
                <w:lang w:eastAsia="en-US"/>
              </w:rPr>
              <w:t xml:space="preserve">describe </w:t>
            </w:r>
            <w:r w:rsidRPr="001910E9">
              <w:rPr>
                <w:b/>
                <w:lang w:eastAsia="en-US"/>
              </w:rPr>
              <w:t>the attitude to the environment of various First Nation groups</w:t>
            </w:r>
            <w:r w:rsidRPr="001910E9">
              <w:rPr>
                <w:lang w:eastAsia="en-US"/>
              </w:rPr>
              <w:t xml:space="preserve"> and show how it affected their practices in daily life </w:t>
            </w:r>
          </w:p>
          <w:p w:rsidR="00825FDF" w:rsidRPr="00BA1245" w:rsidRDefault="00BA1245" w:rsidP="00BA1245">
            <w:pPr>
              <w:widowControl w:val="0"/>
              <w:numPr>
                <w:ilvl w:val="0"/>
                <w:numId w:val="42"/>
              </w:numPr>
              <w:tabs>
                <w:tab w:val="left" w:pos="220"/>
                <w:tab w:val="left" w:pos="720"/>
              </w:tabs>
              <w:autoSpaceDE w:val="0"/>
              <w:autoSpaceDN w:val="0"/>
              <w:adjustRightInd w:val="0"/>
              <w:spacing w:after="240"/>
              <w:ind w:left="714" w:hanging="357"/>
              <w:rPr>
                <w:rFonts w:ascii="Arial" w:hAnsi="Arial" w:cs="Arial"/>
                <w:sz w:val="20"/>
                <w:szCs w:val="20"/>
                <w:lang w:eastAsia="en-US"/>
              </w:rPr>
            </w:pPr>
            <w:r w:rsidRPr="001910E9">
              <w:rPr>
                <w:b/>
                <w:lang w:eastAsia="en-US"/>
              </w:rPr>
              <w:t>build models</w:t>
            </w:r>
            <w:r w:rsidRPr="001910E9">
              <w:rPr>
                <w:lang w:eastAsia="en-US"/>
              </w:rPr>
              <w:t xml:space="preserve"> or draw and label various forms of maps, using cartographic symbols and a legend</w:t>
            </w:r>
            <w:r w:rsidRPr="00BA1245">
              <w:rPr>
                <w:rFonts w:ascii="Arial" w:hAnsi="Arial" w:cs="Arial"/>
                <w:sz w:val="20"/>
                <w:szCs w:val="20"/>
                <w:lang w:eastAsia="en-US"/>
              </w:rPr>
              <w:t xml:space="preserve"> </w:t>
            </w:r>
          </w:p>
        </w:tc>
      </w:tr>
      <w:tr w:rsidR="00825FDF" w:rsidRPr="00F823B8" w:rsidTr="001416D8">
        <w:tc>
          <w:tcPr>
            <w:tcW w:w="14459" w:type="dxa"/>
            <w:gridSpan w:val="2"/>
            <w:tcBorders>
              <w:left w:val="double" w:sz="4" w:space="0" w:color="auto"/>
              <w:right w:val="double" w:sz="4" w:space="0" w:color="auto"/>
            </w:tcBorders>
            <w:shd w:val="pct5" w:color="auto" w:fill="FFFFFF"/>
          </w:tcPr>
          <w:p w:rsidR="006F2737" w:rsidRPr="001910E9" w:rsidRDefault="00825FDF" w:rsidP="007014C7">
            <w:r w:rsidRPr="001910E9">
              <w:rPr>
                <w:b/>
                <w:bCs/>
              </w:rPr>
              <w:t>Materials and/or Resources:</w:t>
            </w:r>
            <w:r w:rsidR="00CE70B6" w:rsidRPr="001910E9">
              <w:t xml:space="preserve"> </w:t>
            </w:r>
            <w:r w:rsidR="00D3789D" w:rsidRPr="001910E9">
              <w:t xml:space="preserve">an image of Emily Carr’s </w:t>
            </w:r>
            <w:proofErr w:type="spellStart"/>
            <w:r w:rsidR="00D3789D" w:rsidRPr="001910E9">
              <w:rPr>
                <w:i/>
              </w:rPr>
              <w:t>Kitwancool</w:t>
            </w:r>
            <w:proofErr w:type="spellEnd"/>
            <w:r w:rsidR="00D3789D" w:rsidRPr="001910E9">
              <w:rPr>
                <w:i/>
              </w:rPr>
              <w:t xml:space="preserve"> Poles, </w:t>
            </w:r>
            <w:r w:rsidR="00BA1245" w:rsidRPr="001910E9">
              <w:t>1940</w:t>
            </w:r>
          </w:p>
          <w:p w:rsidR="006F2737" w:rsidRDefault="006F2737" w:rsidP="007014C7">
            <w:pPr>
              <w:rPr>
                <w:rFonts w:ascii="Arial" w:hAnsi="Arial" w:cs="Arial"/>
                <w:sz w:val="20"/>
                <w:szCs w:val="20"/>
              </w:rPr>
            </w:pPr>
            <w:r>
              <w:rPr>
                <w:rFonts w:ascii="Arial" w:hAnsi="Arial" w:cs="Arial"/>
                <w:noProof/>
                <w:sz w:val="20"/>
                <w:szCs w:val="20"/>
                <w:lang w:val="en-CA" w:eastAsia="en-CA"/>
              </w:rPr>
              <w:drawing>
                <wp:inline distT="0" distB="0" distL="0" distR="0">
                  <wp:extent cx="23812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wancool Poles - Emily Carr, 1940.jpg"/>
                          <pic:cNvPicPr/>
                        </pic:nvPicPr>
                        <pic:blipFill>
                          <a:blip r:embed="rId8">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rsidR="00825FDF" w:rsidRPr="001910E9" w:rsidRDefault="006F2737" w:rsidP="007014C7">
            <w:pPr>
              <w:rPr>
                <w:bCs/>
              </w:rPr>
            </w:pPr>
            <w:r w:rsidRPr="001910E9">
              <w:rPr>
                <w:i/>
                <w:lang w:eastAsia="en-US"/>
              </w:rPr>
              <w:t xml:space="preserve">(this artwork can be accessed by going to the Museum London website </w:t>
            </w:r>
            <w:hyperlink r:id="rId9" w:history="1">
              <w:r w:rsidRPr="001910E9">
                <w:rPr>
                  <w:rStyle w:val="Hyperlink"/>
                  <w:i/>
                  <w:lang w:eastAsia="en-US"/>
                </w:rPr>
                <w:t>http://museumlondon.ca/</w:t>
              </w:r>
            </w:hyperlink>
            <w:r w:rsidRPr="001910E9">
              <w:rPr>
                <w:i/>
                <w:lang w:eastAsia="en-US"/>
              </w:rPr>
              <w:t xml:space="preserve"> and searching for it on the “collections” page – ty</w:t>
            </w:r>
            <w:r w:rsidR="00D3789D" w:rsidRPr="001910E9">
              <w:rPr>
                <w:i/>
                <w:lang w:eastAsia="en-US"/>
              </w:rPr>
              <w:t xml:space="preserve">pe in the title of the artwork </w:t>
            </w:r>
            <w:proofErr w:type="spellStart"/>
            <w:r w:rsidR="00D3789D" w:rsidRPr="001910E9">
              <w:rPr>
                <w:i/>
                <w:lang w:eastAsia="en-US"/>
              </w:rPr>
              <w:t>Kitwancool</w:t>
            </w:r>
            <w:proofErr w:type="spellEnd"/>
            <w:r w:rsidR="00D3789D" w:rsidRPr="001910E9">
              <w:rPr>
                <w:i/>
                <w:lang w:eastAsia="en-US"/>
              </w:rPr>
              <w:t xml:space="preserve"> Poles</w:t>
            </w:r>
            <w:r w:rsidRPr="001910E9">
              <w:rPr>
                <w:i/>
                <w:lang w:eastAsia="en-US"/>
              </w:rPr>
              <w:t>)</w:t>
            </w:r>
            <w:r w:rsidR="0088229F" w:rsidRPr="001910E9">
              <w:rPr>
                <w:bCs/>
              </w:rPr>
              <w:t xml:space="preserve"> </w:t>
            </w:r>
            <w:r w:rsidR="00BA1245" w:rsidRPr="001910E9">
              <w:t xml:space="preserve">for reference, </w:t>
            </w:r>
            <w:r w:rsidR="007014C7" w:rsidRPr="001910E9">
              <w:t>brown</w:t>
            </w:r>
            <w:r w:rsidR="00D53C1F" w:rsidRPr="001910E9">
              <w:t xml:space="preserve"> </w:t>
            </w:r>
            <w:proofErr w:type="spellStart"/>
            <w:r w:rsidR="00D53C1F" w:rsidRPr="001910E9">
              <w:t>plasticine</w:t>
            </w:r>
            <w:proofErr w:type="spellEnd"/>
            <w:r w:rsidR="00D53C1F" w:rsidRPr="001910E9">
              <w:t xml:space="preserve">, </w:t>
            </w:r>
            <w:r w:rsidR="00BA1245" w:rsidRPr="001910E9">
              <w:t xml:space="preserve">small, cylindrical tea containers, </w:t>
            </w:r>
            <w:r w:rsidR="00D53C1F" w:rsidRPr="001910E9">
              <w:t xml:space="preserve">hot water in containers, various tools (plastic knives, forks, spoons, etc), </w:t>
            </w:r>
          </w:p>
        </w:tc>
      </w:tr>
      <w:tr w:rsidR="00F60133" w:rsidTr="001416D8">
        <w:tc>
          <w:tcPr>
            <w:tcW w:w="14459" w:type="dxa"/>
            <w:gridSpan w:val="2"/>
            <w:tcBorders>
              <w:left w:val="double" w:sz="4" w:space="0" w:color="auto"/>
              <w:bottom w:val="double" w:sz="4" w:space="0" w:color="auto"/>
              <w:right w:val="double" w:sz="4" w:space="0" w:color="auto"/>
            </w:tcBorders>
            <w:shd w:val="pct5" w:color="auto" w:fill="FFFFFF"/>
          </w:tcPr>
          <w:p w:rsidR="00F60133" w:rsidRDefault="00F60133" w:rsidP="00B776B5">
            <w:pPr>
              <w:rPr>
                <w:bCs/>
              </w:rPr>
            </w:pPr>
            <w:r w:rsidRPr="001910E9">
              <w:rPr>
                <w:b/>
                <w:bCs/>
              </w:rPr>
              <w:t>Important Terminology / Word Wall:</w:t>
            </w:r>
            <w:r w:rsidR="00BA1245" w:rsidRPr="001910E9">
              <w:rPr>
                <w:b/>
              </w:rPr>
              <w:t xml:space="preserve"> </w:t>
            </w:r>
            <w:r w:rsidR="00B776B5" w:rsidRPr="001910E9">
              <w:rPr>
                <w:bCs/>
              </w:rPr>
              <w:t>colour, shape, movement, symmetrical balance,</w:t>
            </w:r>
          </w:p>
          <w:p w:rsidR="006C7C55" w:rsidRPr="001910E9" w:rsidRDefault="006C7C55" w:rsidP="00B776B5">
            <w:pPr>
              <w:rPr>
                <w:bCs/>
              </w:rPr>
            </w:pPr>
          </w:p>
        </w:tc>
      </w:tr>
      <w:tr w:rsidR="00D11A5C" w:rsidTr="001416D8">
        <w:tc>
          <w:tcPr>
            <w:tcW w:w="10773" w:type="dxa"/>
            <w:tcBorders>
              <w:top w:val="double" w:sz="4" w:space="0" w:color="auto"/>
              <w:left w:val="double" w:sz="4" w:space="0" w:color="auto"/>
              <w:right w:val="single" w:sz="4" w:space="0" w:color="auto"/>
            </w:tcBorders>
            <w:shd w:val="pct15" w:color="auto" w:fill="auto"/>
          </w:tcPr>
          <w:p w:rsidR="00D11A5C" w:rsidRPr="0077463C" w:rsidRDefault="00D11A5C" w:rsidP="00F823B8">
            <w:pPr>
              <w:rPr>
                <w:b/>
                <w:bCs/>
              </w:rPr>
            </w:pPr>
            <w:r w:rsidRPr="00F823B8">
              <w:rPr>
                <w:rFonts w:ascii="Perpetua Titling MT" w:hAnsi="Perpetua Titling MT"/>
                <w:bCs/>
              </w:rPr>
              <w:lastRenderedPageBreak/>
              <w:t>How Will You Teach This?</w:t>
            </w:r>
          </w:p>
        </w:tc>
        <w:tc>
          <w:tcPr>
            <w:tcW w:w="3686" w:type="dxa"/>
            <w:tcBorders>
              <w:top w:val="double" w:sz="4" w:space="0" w:color="auto"/>
              <w:left w:val="single" w:sz="4" w:space="0" w:color="auto"/>
              <w:bottom w:val="single" w:sz="4" w:space="0" w:color="auto"/>
              <w:right w:val="double" w:sz="4" w:space="0" w:color="auto"/>
            </w:tcBorders>
            <w:shd w:val="pct15" w:color="auto" w:fill="auto"/>
          </w:tcPr>
          <w:p w:rsidR="00D11A5C" w:rsidRPr="00F823B8" w:rsidRDefault="00D11A5C" w:rsidP="00F823B8">
            <w:pPr>
              <w:rPr>
                <w:rFonts w:ascii="Perpetua Titling MT" w:hAnsi="Perpetua Titling MT"/>
                <w:bCs/>
              </w:rPr>
            </w:pPr>
            <w:r>
              <w:rPr>
                <w:rFonts w:ascii="Perpetua Titling MT" w:hAnsi="Perpetua Titling MT"/>
                <w:bCs/>
              </w:rPr>
              <w:t>Assessment for learning</w:t>
            </w:r>
          </w:p>
        </w:tc>
      </w:tr>
      <w:tr w:rsidR="00D11A5C" w:rsidTr="001416D8">
        <w:tc>
          <w:tcPr>
            <w:tcW w:w="10773" w:type="dxa"/>
            <w:tcBorders>
              <w:left w:val="double" w:sz="4" w:space="0" w:color="auto"/>
              <w:right w:val="single" w:sz="4" w:space="0" w:color="auto"/>
            </w:tcBorders>
          </w:tcPr>
          <w:p w:rsidR="00D11A5C" w:rsidRPr="001910E9" w:rsidRDefault="00326A20" w:rsidP="00865896">
            <w:pPr>
              <w:rPr>
                <w:bCs/>
              </w:rPr>
            </w:pPr>
            <w:r w:rsidRPr="001910E9">
              <w:rPr>
                <w:b/>
                <w:bCs/>
              </w:rPr>
              <w:t>Preamble:</w:t>
            </w:r>
            <w:r w:rsidRPr="001910E9">
              <w:rPr>
                <w:bCs/>
              </w:rPr>
              <w:t xml:space="preserve"> </w:t>
            </w:r>
            <w:r w:rsidR="00BA1245" w:rsidRPr="001910E9">
              <w:rPr>
                <w:bCs/>
              </w:rPr>
              <w:t xml:space="preserve">This lesson ties well into the Grade 6 Social Studies Heritage and Citizenship curriculum expectations. It is good for students to develop an understanding of the First Nations people in their own context prior to learning about them in the context of the Europeans to strengthen their appreciation of the various cultures. </w:t>
            </w:r>
            <w:r w:rsidR="00B15702" w:rsidRPr="001910E9">
              <w:rPr>
                <w:bCs/>
              </w:rPr>
              <w:t>This lesson will fit well following a lesson focusing on totem poles and their significance.</w:t>
            </w:r>
          </w:p>
        </w:tc>
        <w:tc>
          <w:tcPr>
            <w:tcW w:w="3686" w:type="dxa"/>
            <w:tcBorders>
              <w:left w:val="single" w:sz="4" w:space="0" w:color="auto"/>
              <w:right w:val="double" w:sz="4" w:space="0" w:color="auto"/>
            </w:tcBorders>
            <w:shd w:val="pct5" w:color="auto" w:fill="auto"/>
          </w:tcPr>
          <w:p w:rsidR="00326A20" w:rsidRPr="001910E9" w:rsidRDefault="00D11A5C" w:rsidP="0007108B">
            <w:pPr>
              <w:rPr>
                <w:b/>
                <w:bCs/>
              </w:rPr>
            </w:pPr>
            <w:r w:rsidRPr="001910E9">
              <w:rPr>
                <w:b/>
                <w:bCs/>
              </w:rPr>
              <w:t>Diagnostic</w:t>
            </w:r>
            <w:r w:rsidR="00CE70B6" w:rsidRPr="001910E9">
              <w:rPr>
                <w:b/>
                <w:bCs/>
              </w:rPr>
              <w:t xml:space="preserve">: </w:t>
            </w:r>
          </w:p>
          <w:p w:rsidR="0021029B" w:rsidRPr="001910E9" w:rsidRDefault="0007108B" w:rsidP="0007108B">
            <w:pPr>
              <w:rPr>
                <w:b/>
                <w:bCs/>
              </w:rPr>
            </w:pPr>
            <w:r w:rsidRPr="001910E9">
              <w:rPr>
                <w:bCs/>
              </w:rPr>
              <w:t xml:space="preserve">A diagnostic portion can be done in relevant lessons leading up to this. </w:t>
            </w:r>
            <w:r w:rsidR="00087CF8" w:rsidRPr="001910E9">
              <w:rPr>
                <w:bCs/>
              </w:rPr>
              <w:t xml:space="preserve"> </w:t>
            </w:r>
          </w:p>
        </w:tc>
      </w:tr>
      <w:tr w:rsidR="00D11A5C" w:rsidTr="001416D8">
        <w:tc>
          <w:tcPr>
            <w:tcW w:w="10773" w:type="dxa"/>
            <w:tcBorders>
              <w:left w:val="double" w:sz="4" w:space="0" w:color="auto"/>
              <w:bottom w:val="double" w:sz="4" w:space="0" w:color="auto"/>
              <w:right w:val="single" w:sz="4" w:space="0" w:color="auto"/>
            </w:tcBorders>
          </w:tcPr>
          <w:p w:rsidR="00D11A5C" w:rsidRPr="001910E9" w:rsidRDefault="00326A20" w:rsidP="00246075">
            <w:pPr>
              <w:rPr>
                <w:bCs/>
              </w:rPr>
            </w:pPr>
            <w:r w:rsidRPr="001910E9">
              <w:rPr>
                <w:b/>
                <w:bCs/>
              </w:rPr>
              <w:t>Lesson:</w:t>
            </w:r>
            <w:r w:rsidRPr="001910E9">
              <w:rPr>
                <w:bCs/>
              </w:rPr>
              <w:t xml:space="preserve"> </w:t>
            </w:r>
            <w:r w:rsidR="00B15702" w:rsidRPr="001910E9">
              <w:rPr>
                <w:bCs/>
              </w:rPr>
              <w:t>Using the tea containers as an inner base, student will create their own totem pole sections. Upon completion they will all be stackable to create a complete totem pole.</w:t>
            </w:r>
            <w:r w:rsidR="007014C7" w:rsidRPr="001910E9">
              <w:rPr>
                <w:bCs/>
              </w:rPr>
              <w:t xml:space="preserve"> Students should all work in the same colour (preferably brown to represent the wood that totem poles were created with).</w:t>
            </w:r>
            <w:r w:rsidR="0007108B" w:rsidRPr="001910E9">
              <w:rPr>
                <w:bCs/>
              </w:rPr>
              <w:t xml:space="preserve"> Using a single colour ensures that the students to use the other elements of design to accomplish their desired composition.</w:t>
            </w:r>
            <w:r w:rsidR="00B15702" w:rsidRPr="001910E9">
              <w:rPr>
                <w:bCs/>
              </w:rPr>
              <w:t xml:space="preserve"> </w:t>
            </w:r>
          </w:p>
          <w:p w:rsidR="007014C7" w:rsidRPr="001910E9" w:rsidRDefault="007014C7" w:rsidP="00246075">
            <w:pPr>
              <w:rPr>
                <w:bCs/>
              </w:rPr>
            </w:pPr>
            <w:r w:rsidRPr="001910E9">
              <w:rPr>
                <w:bCs/>
              </w:rPr>
              <w:t>Prior to the lesson, soak clumps of plasticine in warm water. This will increase the malleability of it and allow it to be more easily manipulated.</w:t>
            </w:r>
          </w:p>
          <w:p w:rsidR="007014C7" w:rsidRPr="001910E9" w:rsidRDefault="007014C7" w:rsidP="007014C7">
            <w:pPr>
              <w:pStyle w:val="ListParagraph"/>
              <w:numPr>
                <w:ilvl w:val="0"/>
                <w:numId w:val="43"/>
              </w:numPr>
              <w:rPr>
                <w:bCs/>
              </w:rPr>
            </w:pPr>
            <w:r w:rsidRPr="001910E9">
              <w:rPr>
                <w:bCs/>
              </w:rPr>
              <w:t>Draw a plan. Have the students sketch out thumbnails for their sculpture. Encourage the students to create an image that has personal meaning.</w:t>
            </w:r>
            <w:r w:rsidR="0007108B" w:rsidRPr="001910E9">
              <w:rPr>
                <w:bCs/>
              </w:rPr>
              <w:t xml:space="preserve"> They should write a couple sentences about what their totem means to them.</w:t>
            </w:r>
            <w:r w:rsidRPr="001910E9">
              <w:rPr>
                <w:bCs/>
              </w:rPr>
              <w:t xml:space="preserve"> If there </w:t>
            </w:r>
            <w:proofErr w:type="gramStart"/>
            <w:r w:rsidRPr="001910E9">
              <w:rPr>
                <w:bCs/>
              </w:rPr>
              <w:t>are</w:t>
            </w:r>
            <w:proofErr w:type="gramEnd"/>
            <w:r w:rsidRPr="001910E9">
              <w:rPr>
                <w:bCs/>
              </w:rPr>
              <w:t xml:space="preserve"> large noses/wings/etc., a structure of popsicle sticks hot glued to the tea container may be required before beginning the next step. </w:t>
            </w:r>
          </w:p>
          <w:p w:rsidR="007014C7" w:rsidRPr="001910E9" w:rsidRDefault="007014C7" w:rsidP="007014C7">
            <w:pPr>
              <w:pStyle w:val="ListParagraph"/>
              <w:numPr>
                <w:ilvl w:val="0"/>
                <w:numId w:val="43"/>
              </w:numPr>
              <w:rPr>
                <w:bCs/>
              </w:rPr>
            </w:pPr>
            <w:r w:rsidRPr="001910E9">
              <w:rPr>
                <w:bCs/>
              </w:rPr>
              <w:t>Students will flatten a piece of plasticine to go completely around the outside of the tea container (do not cover the top or bottom). Once the outside of the container is covered in plasticine, it is ready to have features added.</w:t>
            </w:r>
          </w:p>
          <w:p w:rsidR="00D11A5C" w:rsidRPr="001910E9" w:rsidRDefault="007014C7" w:rsidP="00865896">
            <w:pPr>
              <w:pStyle w:val="ListParagraph"/>
              <w:numPr>
                <w:ilvl w:val="0"/>
                <w:numId w:val="43"/>
              </w:numPr>
              <w:rPr>
                <w:bCs/>
              </w:rPr>
            </w:pPr>
            <w:r w:rsidRPr="001910E9">
              <w:rPr>
                <w:bCs/>
              </w:rPr>
              <w:t xml:space="preserve">Have them use various tools to </w:t>
            </w:r>
            <w:proofErr w:type="gramStart"/>
            <w:r w:rsidRPr="001910E9">
              <w:rPr>
                <w:bCs/>
              </w:rPr>
              <w:t xml:space="preserve">develop </w:t>
            </w:r>
            <w:r w:rsidR="0007108B" w:rsidRPr="001910E9">
              <w:rPr>
                <w:bCs/>
              </w:rPr>
              <w:t xml:space="preserve"> and</w:t>
            </w:r>
            <w:proofErr w:type="gramEnd"/>
            <w:r w:rsidR="0007108B" w:rsidRPr="001910E9">
              <w:rPr>
                <w:bCs/>
              </w:rPr>
              <w:t xml:space="preserve"> finish </w:t>
            </w:r>
            <w:r w:rsidRPr="001910E9">
              <w:rPr>
                <w:bCs/>
              </w:rPr>
              <w:t xml:space="preserve">the totem, adding plasticine where necessary. </w:t>
            </w:r>
          </w:p>
        </w:tc>
        <w:tc>
          <w:tcPr>
            <w:tcW w:w="3686" w:type="dxa"/>
            <w:tcBorders>
              <w:left w:val="single" w:sz="4" w:space="0" w:color="auto"/>
              <w:bottom w:val="double" w:sz="4" w:space="0" w:color="auto"/>
              <w:right w:val="double" w:sz="4" w:space="0" w:color="auto"/>
            </w:tcBorders>
            <w:shd w:val="pct5" w:color="auto" w:fill="auto"/>
          </w:tcPr>
          <w:p w:rsidR="00326A20" w:rsidRPr="001910E9" w:rsidRDefault="00D11A5C" w:rsidP="0021029B">
            <w:pPr>
              <w:rPr>
                <w:bCs/>
              </w:rPr>
            </w:pPr>
            <w:r w:rsidRPr="001910E9">
              <w:rPr>
                <w:b/>
                <w:bCs/>
              </w:rPr>
              <w:t>Formative</w:t>
            </w:r>
            <w:r w:rsidR="00FE50E3" w:rsidRPr="001910E9">
              <w:rPr>
                <w:b/>
                <w:bCs/>
              </w:rPr>
              <w:t>:</w:t>
            </w:r>
            <w:r w:rsidR="00FE50E3" w:rsidRPr="001910E9">
              <w:rPr>
                <w:bCs/>
              </w:rPr>
              <w:t xml:space="preserve"> </w:t>
            </w:r>
          </w:p>
          <w:p w:rsidR="00D11A5C" w:rsidRPr="001910E9" w:rsidRDefault="00087CF8" w:rsidP="0021029B">
            <w:pPr>
              <w:rPr>
                <w:bCs/>
              </w:rPr>
            </w:pPr>
            <w:r w:rsidRPr="001910E9">
              <w:rPr>
                <w:bCs/>
              </w:rPr>
              <w:t xml:space="preserve">As students experiment with the materials and develop their thumbnails, provide them with meaningful feedback to help them develop their work to its fullest potential. </w:t>
            </w:r>
          </w:p>
        </w:tc>
      </w:tr>
      <w:tr w:rsidR="00D11A5C" w:rsidTr="001416D8">
        <w:trPr>
          <w:trHeight w:val="1111"/>
        </w:trPr>
        <w:tc>
          <w:tcPr>
            <w:tcW w:w="10773" w:type="dxa"/>
            <w:tcBorders>
              <w:top w:val="double" w:sz="4" w:space="0" w:color="auto"/>
              <w:left w:val="double" w:sz="4" w:space="0" w:color="auto"/>
              <w:bottom w:val="double" w:sz="4" w:space="0" w:color="auto"/>
              <w:right w:val="single" w:sz="4" w:space="0" w:color="auto"/>
            </w:tcBorders>
            <w:shd w:val="clear" w:color="auto" w:fill="auto"/>
          </w:tcPr>
          <w:p w:rsidR="00D11A5C" w:rsidRPr="001910E9" w:rsidRDefault="00D11A5C" w:rsidP="00D11A5C">
            <w:pPr>
              <w:rPr>
                <w:i/>
                <w:lang w:eastAsia="en-US"/>
              </w:rPr>
            </w:pPr>
            <w:r w:rsidRPr="001910E9">
              <w:rPr>
                <w:b/>
                <w:bCs/>
              </w:rPr>
              <w:t>Consolidation</w:t>
            </w:r>
            <w:r w:rsidR="006D7657" w:rsidRPr="001910E9">
              <w:rPr>
                <w:bCs/>
              </w:rPr>
              <w:t xml:space="preserve"> (</w:t>
            </w:r>
            <w:r w:rsidR="006D7657" w:rsidRPr="001910E9">
              <w:rPr>
                <w:i/>
                <w:lang w:eastAsia="en-US"/>
              </w:rPr>
              <w:t>reflecting, presenting, sharing, growing, adapting)</w:t>
            </w:r>
          </w:p>
          <w:p w:rsidR="00F60133" w:rsidRPr="001910E9" w:rsidRDefault="00D53C1F" w:rsidP="006D7657">
            <w:pPr>
              <w:rPr>
                <w:b/>
                <w:bCs/>
              </w:rPr>
            </w:pPr>
            <w:r w:rsidRPr="001910E9">
              <w:t>Note to teacher: it is suggested that the students provide some sort of artist statement</w:t>
            </w:r>
            <w:r w:rsidR="004B188D" w:rsidRPr="001910E9">
              <w:t xml:space="preserve"> to reflect on their work and meet certain expectations</w:t>
            </w:r>
            <w:r w:rsidRPr="001910E9">
              <w:t>. This may come in the form of a written paragraph, oral presentation or other</w:t>
            </w:r>
            <w:r w:rsidR="004B188D" w:rsidRPr="001910E9">
              <w:t xml:space="preserve"> creative means.</w:t>
            </w:r>
          </w:p>
          <w:p w:rsidR="00143E6B" w:rsidRPr="001910E9" w:rsidRDefault="00143E6B" w:rsidP="006D7657">
            <w:pPr>
              <w:rPr>
                <w:b/>
                <w:bCs/>
              </w:rPr>
            </w:pPr>
          </w:p>
          <w:p w:rsidR="00B274CE" w:rsidRPr="001910E9" w:rsidRDefault="00B274CE" w:rsidP="006D7657">
            <w:pPr>
              <w:rPr>
                <w:b/>
                <w:bCs/>
              </w:rPr>
            </w:pPr>
          </w:p>
          <w:p w:rsidR="00B274CE" w:rsidRPr="001910E9" w:rsidRDefault="00B274CE" w:rsidP="006D7657">
            <w:pPr>
              <w:rPr>
                <w:b/>
                <w:bCs/>
              </w:rPr>
            </w:pPr>
          </w:p>
          <w:p w:rsidR="00B274CE" w:rsidRPr="001910E9" w:rsidRDefault="00B274CE" w:rsidP="006D7657">
            <w:pPr>
              <w:rPr>
                <w:b/>
                <w:bCs/>
              </w:rPr>
            </w:pPr>
          </w:p>
        </w:tc>
        <w:tc>
          <w:tcPr>
            <w:tcW w:w="3686" w:type="dxa"/>
            <w:tcBorders>
              <w:top w:val="double" w:sz="4" w:space="0" w:color="auto"/>
              <w:left w:val="single" w:sz="4" w:space="0" w:color="auto"/>
              <w:bottom w:val="double" w:sz="4" w:space="0" w:color="auto"/>
              <w:right w:val="double" w:sz="4" w:space="0" w:color="auto"/>
            </w:tcBorders>
            <w:shd w:val="pct5" w:color="auto" w:fill="auto"/>
          </w:tcPr>
          <w:p w:rsidR="00087CF8" w:rsidRPr="001910E9" w:rsidRDefault="00D11A5C" w:rsidP="00D53C1F">
            <w:pPr>
              <w:rPr>
                <w:b/>
                <w:bCs/>
              </w:rPr>
            </w:pPr>
            <w:r w:rsidRPr="001910E9">
              <w:rPr>
                <w:b/>
                <w:bCs/>
              </w:rPr>
              <w:t>Summative</w:t>
            </w:r>
            <w:r w:rsidR="0021029B" w:rsidRPr="001910E9">
              <w:rPr>
                <w:b/>
                <w:bCs/>
              </w:rPr>
              <w:t>:</w:t>
            </w:r>
          </w:p>
          <w:p w:rsidR="00087CF8" w:rsidRPr="001910E9" w:rsidRDefault="004B188D" w:rsidP="00D53C1F">
            <w:pPr>
              <w:rPr>
                <w:bCs/>
              </w:rPr>
            </w:pPr>
            <w:r w:rsidRPr="001910E9">
              <w:rPr>
                <w:bCs/>
              </w:rPr>
              <w:t xml:space="preserve">Students’ final compositions will reflect the knowledge and skills that they </w:t>
            </w:r>
            <w:r w:rsidR="0007108B" w:rsidRPr="001910E9">
              <w:rPr>
                <w:bCs/>
              </w:rPr>
              <w:t>have gained throughout the lesson and in prior lessons</w:t>
            </w:r>
            <w:r w:rsidRPr="001910E9">
              <w:rPr>
                <w:bCs/>
              </w:rPr>
              <w:t xml:space="preserve">. </w:t>
            </w:r>
            <w:r w:rsidR="0007108B" w:rsidRPr="001910E9">
              <w:rPr>
                <w:bCs/>
              </w:rPr>
              <w:t>Assess</w:t>
            </w:r>
            <w:r w:rsidRPr="001910E9">
              <w:rPr>
                <w:bCs/>
              </w:rPr>
              <w:t xml:space="preserve"> the work in relation to how it meets the curriculum expectations.</w:t>
            </w:r>
          </w:p>
        </w:tc>
      </w:tr>
    </w:tbl>
    <w:p w:rsidR="009C7C29" w:rsidRDefault="009C7C29" w:rsidP="0007108B"/>
    <w:p w:rsidR="009C7C29" w:rsidRDefault="006C7C55" w:rsidP="0007108B">
      <w:r>
        <w:rPr>
          <w:noProof/>
          <w:lang w:val="en-CA" w:eastAsia="en-CA"/>
        </w:rPr>
        <w:drawing>
          <wp:inline distT="0" distB="0" distL="0" distR="0" wp14:anchorId="460A4415" wp14:editId="12E2AFCD">
            <wp:extent cx="2830651" cy="212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icine totem.jpg"/>
                    <pic:cNvPicPr/>
                  </pic:nvPicPr>
                  <pic:blipFill>
                    <a:blip r:embed="rId10">
                      <a:extLst>
                        <a:ext uri="{28A0092B-C50C-407E-A947-70E740481C1C}">
                          <a14:useLocalDpi xmlns:a14="http://schemas.microsoft.com/office/drawing/2010/main" val="0"/>
                        </a:ext>
                      </a:extLst>
                    </a:blip>
                    <a:stretch>
                      <a:fillRect/>
                    </a:stretch>
                  </pic:blipFill>
                  <pic:spPr>
                    <a:xfrm>
                      <a:off x="0" y="0"/>
                      <a:ext cx="2845625" cy="2135311"/>
                    </a:xfrm>
                    <a:prstGeom prst="rect">
                      <a:avLst/>
                    </a:prstGeom>
                  </pic:spPr>
                </pic:pic>
              </a:graphicData>
            </a:graphic>
          </wp:inline>
        </w:drawing>
      </w:r>
    </w:p>
    <w:sectPr w:rsidR="009C7C29" w:rsidSect="00326A20">
      <w:footerReference w:type="default" r:id="rId11"/>
      <w:pgSz w:w="15840" w:h="12240" w:orient="landscape"/>
      <w:pgMar w:top="11"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F0" w:rsidRDefault="00C742F0">
      <w:r>
        <w:separator/>
      </w:r>
    </w:p>
  </w:endnote>
  <w:endnote w:type="continuationSeparator" w:id="0">
    <w:p w:rsidR="00C742F0" w:rsidRDefault="00C7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8B" w:rsidRPr="005E2859" w:rsidRDefault="00E715FB" w:rsidP="005E2859">
    <w:pPr>
      <w:pStyle w:val="Footer"/>
      <w:jc w:val="right"/>
    </w:pPr>
    <w:r>
      <w:rPr>
        <w:rStyle w:val="PageNumber"/>
      </w:rPr>
      <w:fldChar w:fldCharType="begin"/>
    </w:r>
    <w:r w:rsidR="0007108B">
      <w:rPr>
        <w:rStyle w:val="PageNumber"/>
      </w:rPr>
      <w:instrText xml:space="preserve"> PAGE </w:instrText>
    </w:r>
    <w:r>
      <w:rPr>
        <w:rStyle w:val="PageNumber"/>
      </w:rPr>
      <w:fldChar w:fldCharType="separate"/>
    </w:r>
    <w:r w:rsidR="006C7C55">
      <w:rPr>
        <w:rStyle w:val="PageNumber"/>
        <w:noProof/>
      </w:rPr>
      <w:t>1</w:t>
    </w:r>
    <w:r>
      <w:rPr>
        <w:rStyle w:val="PageNumber"/>
      </w:rPr>
      <w:fldChar w:fldCharType="end"/>
    </w:r>
    <w:r w:rsidR="0007108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F0" w:rsidRDefault="00C742F0">
      <w:r>
        <w:separator/>
      </w:r>
    </w:p>
  </w:footnote>
  <w:footnote w:type="continuationSeparator" w:id="0">
    <w:p w:rsidR="00C742F0" w:rsidRDefault="00C74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AE8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96069"/>
    <w:multiLevelType w:val="hybridMultilevel"/>
    <w:tmpl w:val="ADC020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D0649E"/>
    <w:multiLevelType w:val="hybridMultilevel"/>
    <w:tmpl w:val="B18E2F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7950481"/>
    <w:multiLevelType w:val="hybridMultilevel"/>
    <w:tmpl w:val="F8C4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07813"/>
    <w:multiLevelType w:val="hybridMultilevel"/>
    <w:tmpl w:val="12DE44D2"/>
    <w:lvl w:ilvl="0" w:tplc="0409000F">
      <w:start w:val="1"/>
      <w:numFmt w:val="decimal"/>
      <w:lvlText w:val="%1."/>
      <w:lvlJc w:val="left"/>
      <w:pPr>
        <w:tabs>
          <w:tab w:val="num" w:pos="720"/>
        </w:tabs>
        <w:ind w:left="720" w:hanging="360"/>
      </w:pPr>
    </w:lvl>
    <w:lvl w:ilvl="1" w:tplc="93523D2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A19123C"/>
    <w:multiLevelType w:val="hybridMultilevel"/>
    <w:tmpl w:val="075EFF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ABB49E9"/>
    <w:multiLevelType w:val="hybridMultilevel"/>
    <w:tmpl w:val="356618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29812ED"/>
    <w:multiLevelType w:val="hybridMultilevel"/>
    <w:tmpl w:val="92BCA3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4064CC9"/>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101A1F"/>
    <w:multiLevelType w:val="hybridMultilevel"/>
    <w:tmpl w:val="5CE64E3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C07B08"/>
    <w:multiLevelType w:val="hybridMultilevel"/>
    <w:tmpl w:val="1536305C"/>
    <w:lvl w:ilvl="0" w:tplc="04090019">
      <w:start w:val="1"/>
      <w:numFmt w:val="lowerLetter"/>
      <w:lvlText w:val="%1."/>
      <w:lvlJc w:val="left"/>
      <w:pPr>
        <w:tabs>
          <w:tab w:val="num" w:pos="720"/>
        </w:tabs>
        <w:ind w:left="720" w:hanging="360"/>
      </w:pPr>
      <w:rPr>
        <w:rFonts w:hint="default"/>
      </w:rPr>
    </w:lvl>
    <w:lvl w:ilvl="1" w:tplc="8A9C142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016535"/>
    <w:multiLevelType w:val="hybridMultilevel"/>
    <w:tmpl w:val="264CB5A4"/>
    <w:lvl w:ilvl="0" w:tplc="21EA8808">
      <w:numFmt w:val="bullet"/>
      <w:lvlText w:val="-"/>
      <w:lvlJc w:val="left"/>
      <w:pPr>
        <w:ind w:left="720" w:hanging="360"/>
      </w:pPr>
      <w:rPr>
        <w:rFonts w:ascii="Arial" w:eastAsia="SimSu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7362C"/>
    <w:multiLevelType w:val="hybridMultilevel"/>
    <w:tmpl w:val="27C2A6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D107B57"/>
    <w:multiLevelType w:val="multilevel"/>
    <w:tmpl w:val="2848D38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0086461"/>
    <w:multiLevelType w:val="hybridMultilevel"/>
    <w:tmpl w:val="350E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F78C5"/>
    <w:multiLevelType w:val="hybridMultilevel"/>
    <w:tmpl w:val="A4DC30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240309"/>
    <w:multiLevelType w:val="hybridMultilevel"/>
    <w:tmpl w:val="47D4E6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3CE86096"/>
    <w:multiLevelType w:val="hybridMultilevel"/>
    <w:tmpl w:val="4FC233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0AA0C59"/>
    <w:multiLevelType w:val="hybridMultilevel"/>
    <w:tmpl w:val="DA7C78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1A63150"/>
    <w:multiLevelType w:val="hybridMultilevel"/>
    <w:tmpl w:val="24145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95026"/>
    <w:multiLevelType w:val="hybridMultilevel"/>
    <w:tmpl w:val="4CF0E5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A5F627B"/>
    <w:multiLevelType w:val="hybridMultilevel"/>
    <w:tmpl w:val="9DAA1F54"/>
    <w:lvl w:ilvl="0" w:tplc="38348C68">
      <w:start w:val="1"/>
      <w:numFmt w:val="bullet"/>
      <w:lvlText w:val="•"/>
      <w:lvlJc w:val="left"/>
      <w:pPr>
        <w:tabs>
          <w:tab w:val="num" w:pos="720"/>
        </w:tabs>
        <w:ind w:left="720" w:hanging="360"/>
      </w:pPr>
      <w:rPr>
        <w:rFonts w:ascii="Times New Roman" w:hAnsi="Times New Roman" w:cs="Times New Roman" w:hint="default"/>
      </w:rPr>
    </w:lvl>
    <w:lvl w:ilvl="1" w:tplc="00EA7D90">
      <w:start w:val="1"/>
      <w:numFmt w:val="bullet"/>
      <w:lvlText w:val="•"/>
      <w:lvlJc w:val="left"/>
      <w:pPr>
        <w:tabs>
          <w:tab w:val="num" w:pos="1440"/>
        </w:tabs>
        <w:ind w:left="1440" w:hanging="360"/>
      </w:pPr>
      <w:rPr>
        <w:rFonts w:ascii="Times New Roman" w:hAnsi="Times New Roman" w:cs="Times New Roman" w:hint="default"/>
      </w:rPr>
    </w:lvl>
    <w:lvl w:ilvl="2" w:tplc="7BECAFB8">
      <w:start w:val="1"/>
      <w:numFmt w:val="bullet"/>
      <w:lvlText w:val="•"/>
      <w:lvlJc w:val="left"/>
      <w:pPr>
        <w:tabs>
          <w:tab w:val="num" w:pos="2160"/>
        </w:tabs>
        <w:ind w:left="2160" w:hanging="360"/>
      </w:pPr>
      <w:rPr>
        <w:rFonts w:ascii="Times New Roman" w:hAnsi="Times New Roman" w:cs="Times New Roman" w:hint="default"/>
      </w:rPr>
    </w:lvl>
    <w:lvl w:ilvl="3" w:tplc="A8541D54">
      <w:start w:val="1"/>
      <w:numFmt w:val="bullet"/>
      <w:lvlText w:val="•"/>
      <w:lvlJc w:val="left"/>
      <w:pPr>
        <w:tabs>
          <w:tab w:val="num" w:pos="2880"/>
        </w:tabs>
        <w:ind w:left="2880" w:hanging="360"/>
      </w:pPr>
      <w:rPr>
        <w:rFonts w:ascii="Times New Roman" w:hAnsi="Times New Roman" w:cs="Times New Roman" w:hint="default"/>
      </w:rPr>
    </w:lvl>
    <w:lvl w:ilvl="4" w:tplc="92AC720E">
      <w:start w:val="1"/>
      <w:numFmt w:val="bullet"/>
      <w:lvlText w:val="•"/>
      <w:lvlJc w:val="left"/>
      <w:pPr>
        <w:tabs>
          <w:tab w:val="num" w:pos="3600"/>
        </w:tabs>
        <w:ind w:left="3600" w:hanging="360"/>
      </w:pPr>
      <w:rPr>
        <w:rFonts w:ascii="Times New Roman" w:hAnsi="Times New Roman" w:cs="Times New Roman" w:hint="default"/>
      </w:rPr>
    </w:lvl>
    <w:lvl w:ilvl="5" w:tplc="12B4E442">
      <w:start w:val="1"/>
      <w:numFmt w:val="bullet"/>
      <w:lvlText w:val="•"/>
      <w:lvlJc w:val="left"/>
      <w:pPr>
        <w:tabs>
          <w:tab w:val="num" w:pos="4320"/>
        </w:tabs>
        <w:ind w:left="4320" w:hanging="360"/>
      </w:pPr>
      <w:rPr>
        <w:rFonts w:ascii="Times New Roman" w:hAnsi="Times New Roman" w:cs="Times New Roman" w:hint="default"/>
      </w:rPr>
    </w:lvl>
    <w:lvl w:ilvl="6" w:tplc="66A0A228">
      <w:start w:val="1"/>
      <w:numFmt w:val="bullet"/>
      <w:lvlText w:val="•"/>
      <w:lvlJc w:val="left"/>
      <w:pPr>
        <w:tabs>
          <w:tab w:val="num" w:pos="5040"/>
        </w:tabs>
        <w:ind w:left="5040" w:hanging="360"/>
      </w:pPr>
      <w:rPr>
        <w:rFonts w:ascii="Times New Roman" w:hAnsi="Times New Roman" w:cs="Times New Roman" w:hint="default"/>
      </w:rPr>
    </w:lvl>
    <w:lvl w:ilvl="7" w:tplc="78B415CA">
      <w:start w:val="1"/>
      <w:numFmt w:val="bullet"/>
      <w:lvlText w:val="•"/>
      <w:lvlJc w:val="left"/>
      <w:pPr>
        <w:tabs>
          <w:tab w:val="num" w:pos="5760"/>
        </w:tabs>
        <w:ind w:left="5760" w:hanging="360"/>
      </w:pPr>
      <w:rPr>
        <w:rFonts w:ascii="Times New Roman" w:hAnsi="Times New Roman" w:cs="Times New Roman" w:hint="default"/>
      </w:rPr>
    </w:lvl>
    <w:lvl w:ilvl="8" w:tplc="4D70119C">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4AA4307F"/>
    <w:multiLevelType w:val="hybridMultilevel"/>
    <w:tmpl w:val="79C042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CF16BBD"/>
    <w:multiLevelType w:val="hybridMultilevel"/>
    <w:tmpl w:val="27B824CA"/>
    <w:lvl w:ilvl="0" w:tplc="25E2C41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545C16F0"/>
    <w:multiLevelType w:val="hybridMultilevel"/>
    <w:tmpl w:val="3FAC3B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61237C0"/>
    <w:multiLevelType w:val="hybridMultilevel"/>
    <w:tmpl w:val="1394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7445F"/>
    <w:multiLevelType w:val="hybridMultilevel"/>
    <w:tmpl w:val="69BCF348"/>
    <w:lvl w:ilvl="0" w:tplc="8112209A">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8586FA1"/>
    <w:multiLevelType w:val="hybridMultilevel"/>
    <w:tmpl w:val="16CC0C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A2A4234"/>
    <w:multiLevelType w:val="hybridMultilevel"/>
    <w:tmpl w:val="165C23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C892F76"/>
    <w:multiLevelType w:val="hybridMultilevel"/>
    <w:tmpl w:val="F580B60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0130A99"/>
    <w:multiLevelType w:val="hybridMultilevel"/>
    <w:tmpl w:val="393050D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6D076D"/>
    <w:multiLevelType w:val="hybridMultilevel"/>
    <w:tmpl w:val="9E06DD9A"/>
    <w:lvl w:ilvl="0" w:tplc="F83E25E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C4436"/>
    <w:multiLevelType w:val="hybridMultilevel"/>
    <w:tmpl w:val="2C08A8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7A62635"/>
    <w:multiLevelType w:val="multilevel"/>
    <w:tmpl w:val="CB8411A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A2731D2"/>
    <w:multiLevelType w:val="hybridMultilevel"/>
    <w:tmpl w:val="6E120D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A906A84"/>
    <w:multiLevelType w:val="hybridMultilevel"/>
    <w:tmpl w:val="4596D8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6BF328E9"/>
    <w:multiLevelType w:val="hybridMultilevel"/>
    <w:tmpl w:val="36524A8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70552A1A"/>
    <w:multiLevelType w:val="hybridMultilevel"/>
    <w:tmpl w:val="718EE3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16A485F"/>
    <w:multiLevelType w:val="hybridMultilevel"/>
    <w:tmpl w:val="0AACCB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7FE204F"/>
    <w:multiLevelType w:val="hybridMultilevel"/>
    <w:tmpl w:val="506E1C6E"/>
    <w:lvl w:ilvl="0" w:tplc="D04EE6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62688"/>
    <w:multiLevelType w:val="multilevel"/>
    <w:tmpl w:val="47D4E6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E986344"/>
    <w:multiLevelType w:val="hybridMultilevel"/>
    <w:tmpl w:val="D954E73C"/>
    <w:lvl w:ilvl="0" w:tplc="8112209A">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38"/>
  </w:num>
  <w:num w:numId="3">
    <w:abstractNumId w:val="39"/>
  </w:num>
  <w:num w:numId="4">
    <w:abstractNumId w:val="21"/>
  </w:num>
  <w:num w:numId="5">
    <w:abstractNumId w:val="28"/>
  </w:num>
  <w:num w:numId="6">
    <w:abstractNumId w:val="7"/>
  </w:num>
  <w:num w:numId="7">
    <w:abstractNumId w:val="24"/>
  </w:num>
  <w:num w:numId="8">
    <w:abstractNumId w:val="13"/>
  </w:num>
  <w:num w:numId="9">
    <w:abstractNumId w:val="34"/>
  </w:num>
  <w:num w:numId="10">
    <w:abstractNumId w:val="8"/>
  </w:num>
  <w:num w:numId="11">
    <w:abstractNumId w:val="30"/>
  </w:num>
  <w:num w:numId="12">
    <w:abstractNumId w:val="35"/>
  </w:num>
  <w:num w:numId="13">
    <w:abstractNumId w:val="23"/>
  </w:num>
  <w:num w:numId="14">
    <w:abstractNumId w:val="36"/>
  </w:num>
  <w:num w:numId="15">
    <w:abstractNumId w:val="17"/>
  </w:num>
  <w:num w:numId="16">
    <w:abstractNumId w:val="6"/>
  </w:num>
  <w:num w:numId="17">
    <w:abstractNumId w:val="3"/>
  </w:num>
  <w:num w:numId="18">
    <w:abstractNumId w:val="14"/>
  </w:num>
  <w:num w:numId="19">
    <w:abstractNumId w:val="5"/>
  </w:num>
  <w:num w:numId="20">
    <w:abstractNumId w:val="37"/>
  </w:num>
  <w:num w:numId="21">
    <w:abstractNumId w:val="29"/>
  </w:num>
  <w:num w:numId="22">
    <w:abstractNumId w:val="33"/>
  </w:num>
  <w:num w:numId="23">
    <w:abstractNumId w:val="19"/>
  </w:num>
  <w:num w:numId="24">
    <w:abstractNumId w:val="25"/>
  </w:num>
  <w:num w:numId="25">
    <w:abstractNumId w:val="42"/>
  </w:num>
  <w:num w:numId="26">
    <w:abstractNumId w:val="41"/>
  </w:num>
  <w:num w:numId="27">
    <w:abstractNumId w:val="27"/>
  </w:num>
  <w:num w:numId="28">
    <w:abstractNumId w:val="22"/>
  </w:num>
  <w:num w:numId="29">
    <w:abstractNumId w:val="31"/>
  </w:num>
  <w:num w:numId="30">
    <w:abstractNumId w:val="10"/>
  </w:num>
  <w:num w:numId="31">
    <w:abstractNumId w:val="16"/>
  </w:num>
  <w:num w:numId="32">
    <w:abstractNumId w:val="2"/>
  </w:num>
  <w:num w:numId="33">
    <w:abstractNumId w:val="18"/>
  </w:num>
  <w:num w:numId="34">
    <w:abstractNumId w:val="20"/>
  </w:num>
  <w:num w:numId="35">
    <w:abstractNumId w:val="0"/>
  </w:num>
  <w:num w:numId="36">
    <w:abstractNumId w:val="1"/>
  </w:num>
  <w:num w:numId="37">
    <w:abstractNumId w:val="26"/>
  </w:num>
  <w:num w:numId="38">
    <w:abstractNumId w:val="15"/>
  </w:num>
  <w:num w:numId="39">
    <w:abstractNumId w:val="12"/>
  </w:num>
  <w:num w:numId="40">
    <w:abstractNumId w:val="32"/>
  </w:num>
  <w:num w:numId="41">
    <w:abstractNumId w:val="9"/>
  </w:num>
  <w:num w:numId="42">
    <w:abstractNumId w:val="4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0F84"/>
    <w:rsid w:val="00015D57"/>
    <w:rsid w:val="00021209"/>
    <w:rsid w:val="000304D9"/>
    <w:rsid w:val="00037C9A"/>
    <w:rsid w:val="00043C0E"/>
    <w:rsid w:val="00047B6B"/>
    <w:rsid w:val="00051B9B"/>
    <w:rsid w:val="00056F75"/>
    <w:rsid w:val="000663A7"/>
    <w:rsid w:val="00070418"/>
    <w:rsid w:val="0007108B"/>
    <w:rsid w:val="00081D7E"/>
    <w:rsid w:val="0008256D"/>
    <w:rsid w:val="00087CF8"/>
    <w:rsid w:val="00087F65"/>
    <w:rsid w:val="0009262A"/>
    <w:rsid w:val="00092897"/>
    <w:rsid w:val="000B5610"/>
    <w:rsid w:val="000C015B"/>
    <w:rsid w:val="000C5F62"/>
    <w:rsid w:val="001209A1"/>
    <w:rsid w:val="001416D8"/>
    <w:rsid w:val="00143CF9"/>
    <w:rsid w:val="00143E6B"/>
    <w:rsid w:val="00144E2A"/>
    <w:rsid w:val="001476DA"/>
    <w:rsid w:val="00163BEA"/>
    <w:rsid w:val="00165B18"/>
    <w:rsid w:val="001679C7"/>
    <w:rsid w:val="0018559D"/>
    <w:rsid w:val="001910E9"/>
    <w:rsid w:val="001967F5"/>
    <w:rsid w:val="001B0672"/>
    <w:rsid w:val="001B06FE"/>
    <w:rsid w:val="001B6076"/>
    <w:rsid w:val="001D5152"/>
    <w:rsid w:val="001D588C"/>
    <w:rsid w:val="001D6936"/>
    <w:rsid w:val="001F5339"/>
    <w:rsid w:val="001F7A98"/>
    <w:rsid w:val="0021029B"/>
    <w:rsid w:val="00213E4A"/>
    <w:rsid w:val="00215E69"/>
    <w:rsid w:val="00225A87"/>
    <w:rsid w:val="00231691"/>
    <w:rsid w:val="00242AFA"/>
    <w:rsid w:val="00246075"/>
    <w:rsid w:val="002700AC"/>
    <w:rsid w:val="00283DB6"/>
    <w:rsid w:val="00284C00"/>
    <w:rsid w:val="002A5CAF"/>
    <w:rsid w:val="002B4AF2"/>
    <w:rsid w:val="002F4A21"/>
    <w:rsid w:val="00310B11"/>
    <w:rsid w:val="00313BBD"/>
    <w:rsid w:val="00326A20"/>
    <w:rsid w:val="003351D9"/>
    <w:rsid w:val="0033581A"/>
    <w:rsid w:val="00346CE6"/>
    <w:rsid w:val="00372424"/>
    <w:rsid w:val="00376804"/>
    <w:rsid w:val="00377BE0"/>
    <w:rsid w:val="00395B7F"/>
    <w:rsid w:val="003A531F"/>
    <w:rsid w:val="003D3F8B"/>
    <w:rsid w:val="003E6BC7"/>
    <w:rsid w:val="003F0713"/>
    <w:rsid w:val="003F7B1C"/>
    <w:rsid w:val="004112BB"/>
    <w:rsid w:val="004117D3"/>
    <w:rsid w:val="004118AB"/>
    <w:rsid w:val="004373A9"/>
    <w:rsid w:val="00442379"/>
    <w:rsid w:val="00453FF1"/>
    <w:rsid w:val="0048759E"/>
    <w:rsid w:val="004B188D"/>
    <w:rsid w:val="004B3A84"/>
    <w:rsid w:val="004D29F5"/>
    <w:rsid w:val="004E053E"/>
    <w:rsid w:val="00500B31"/>
    <w:rsid w:val="00502314"/>
    <w:rsid w:val="005137D1"/>
    <w:rsid w:val="00515838"/>
    <w:rsid w:val="0052301C"/>
    <w:rsid w:val="005269DC"/>
    <w:rsid w:val="0053174A"/>
    <w:rsid w:val="00541011"/>
    <w:rsid w:val="00544558"/>
    <w:rsid w:val="00555CE9"/>
    <w:rsid w:val="00573F95"/>
    <w:rsid w:val="00581EB7"/>
    <w:rsid w:val="005929B9"/>
    <w:rsid w:val="005B10F9"/>
    <w:rsid w:val="005B4726"/>
    <w:rsid w:val="005B7E45"/>
    <w:rsid w:val="005C1A54"/>
    <w:rsid w:val="005C5173"/>
    <w:rsid w:val="005E1883"/>
    <w:rsid w:val="005E2859"/>
    <w:rsid w:val="005E6FA0"/>
    <w:rsid w:val="006263F8"/>
    <w:rsid w:val="00634CAE"/>
    <w:rsid w:val="00643DDA"/>
    <w:rsid w:val="00657510"/>
    <w:rsid w:val="00657D43"/>
    <w:rsid w:val="00670376"/>
    <w:rsid w:val="006863DB"/>
    <w:rsid w:val="006B666B"/>
    <w:rsid w:val="006C4529"/>
    <w:rsid w:val="006C7C55"/>
    <w:rsid w:val="006D7657"/>
    <w:rsid w:val="006E39B9"/>
    <w:rsid w:val="006F2737"/>
    <w:rsid w:val="007014C7"/>
    <w:rsid w:val="00746259"/>
    <w:rsid w:val="00746D4F"/>
    <w:rsid w:val="0076627F"/>
    <w:rsid w:val="0076773D"/>
    <w:rsid w:val="0077463C"/>
    <w:rsid w:val="007759E3"/>
    <w:rsid w:val="00791868"/>
    <w:rsid w:val="007A1F07"/>
    <w:rsid w:val="00825FDF"/>
    <w:rsid w:val="00834C7C"/>
    <w:rsid w:val="008621C2"/>
    <w:rsid w:val="00863C63"/>
    <w:rsid w:val="00865321"/>
    <w:rsid w:val="00865896"/>
    <w:rsid w:val="00867C9B"/>
    <w:rsid w:val="0088229F"/>
    <w:rsid w:val="00897E7A"/>
    <w:rsid w:val="008A0ACA"/>
    <w:rsid w:val="008B6F3E"/>
    <w:rsid w:val="008C65F6"/>
    <w:rsid w:val="008D4946"/>
    <w:rsid w:val="008E1105"/>
    <w:rsid w:val="0090239C"/>
    <w:rsid w:val="0090432D"/>
    <w:rsid w:val="00944BE9"/>
    <w:rsid w:val="00945B90"/>
    <w:rsid w:val="00947F4E"/>
    <w:rsid w:val="00950F84"/>
    <w:rsid w:val="009606D7"/>
    <w:rsid w:val="00972E71"/>
    <w:rsid w:val="00993B4C"/>
    <w:rsid w:val="009A5FED"/>
    <w:rsid w:val="009A70A8"/>
    <w:rsid w:val="009A76BC"/>
    <w:rsid w:val="009B3249"/>
    <w:rsid w:val="009B7B61"/>
    <w:rsid w:val="009C7C29"/>
    <w:rsid w:val="009D1240"/>
    <w:rsid w:val="009D4715"/>
    <w:rsid w:val="009F3CA1"/>
    <w:rsid w:val="00A1642B"/>
    <w:rsid w:val="00A61356"/>
    <w:rsid w:val="00A7336B"/>
    <w:rsid w:val="00A87955"/>
    <w:rsid w:val="00A930FB"/>
    <w:rsid w:val="00AC29F9"/>
    <w:rsid w:val="00AD2818"/>
    <w:rsid w:val="00AD66C5"/>
    <w:rsid w:val="00AE1B0F"/>
    <w:rsid w:val="00AE1F16"/>
    <w:rsid w:val="00AE571D"/>
    <w:rsid w:val="00B00515"/>
    <w:rsid w:val="00B15702"/>
    <w:rsid w:val="00B22E91"/>
    <w:rsid w:val="00B24831"/>
    <w:rsid w:val="00B274CE"/>
    <w:rsid w:val="00B33E56"/>
    <w:rsid w:val="00B35CAA"/>
    <w:rsid w:val="00B724B5"/>
    <w:rsid w:val="00B751A6"/>
    <w:rsid w:val="00B776B5"/>
    <w:rsid w:val="00BA1245"/>
    <w:rsid w:val="00BD254D"/>
    <w:rsid w:val="00BD391C"/>
    <w:rsid w:val="00C1666F"/>
    <w:rsid w:val="00C215BC"/>
    <w:rsid w:val="00C4068A"/>
    <w:rsid w:val="00C42DA4"/>
    <w:rsid w:val="00C433BF"/>
    <w:rsid w:val="00C647AE"/>
    <w:rsid w:val="00C742F0"/>
    <w:rsid w:val="00CB647D"/>
    <w:rsid w:val="00CB6F2E"/>
    <w:rsid w:val="00CC2DD2"/>
    <w:rsid w:val="00CC6B6E"/>
    <w:rsid w:val="00CE70B6"/>
    <w:rsid w:val="00CF3204"/>
    <w:rsid w:val="00D10E31"/>
    <w:rsid w:val="00D11A5C"/>
    <w:rsid w:val="00D12933"/>
    <w:rsid w:val="00D3789D"/>
    <w:rsid w:val="00D47348"/>
    <w:rsid w:val="00D5038F"/>
    <w:rsid w:val="00D5222E"/>
    <w:rsid w:val="00D53C1F"/>
    <w:rsid w:val="00D55CBD"/>
    <w:rsid w:val="00D73474"/>
    <w:rsid w:val="00D93D15"/>
    <w:rsid w:val="00D965E5"/>
    <w:rsid w:val="00DA06FB"/>
    <w:rsid w:val="00DA2CA3"/>
    <w:rsid w:val="00DA57F6"/>
    <w:rsid w:val="00DB24A7"/>
    <w:rsid w:val="00DD2E71"/>
    <w:rsid w:val="00DF34B4"/>
    <w:rsid w:val="00E11725"/>
    <w:rsid w:val="00E16801"/>
    <w:rsid w:val="00E224C7"/>
    <w:rsid w:val="00E51874"/>
    <w:rsid w:val="00E63925"/>
    <w:rsid w:val="00E715FB"/>
    <w:rsid w:val="00E928A3"/>
    <w:rsid w:val="00E9614A"/>
    <w:rsid w:val="00EB3C9B"/>
    <w:rsid w:val="00EB3D25"/>
    <w:rsid w:val="00EB4D82"/>
    <w:rsid w:val="00EE7456"/>
    <w:rsid w:val="00F005A6"/>
    <w:rsid w:val="00F06370"/>
    <w:rsid w:val="00F150EF"/>
    <w:rsid w:val="00F27772"/>
    <w:rsid w:val="00F30DB3"/>
    <w:rsid w:val="00F3153B"/>
    <w:rsid w:val="00F45AEC"/>
    <w:rsid w:val="00F544FC"/>
    <w:rsid w:val="00F60133"/>
    <w:rsid w:val="00F67DED"/>
    <w:rsid w:val="00F75E92"/>
    <w:rsid w:val="00F815C3"/>
    <w:rsid w:val="00F823B8"/>
    <w:rsid w:val="00F86F12"/>
    <w:rsid w:val="00F96C75"/>
    <w:rsid w:val="00FB0725"/>
    <w:rsid w:val="00FC3DF7"/>
    <w:rsid w:val="00FD7EE9"/>
    <w:rsid w:val="00FE1B8F"/>
    <w:rsid w:val="00FE48BD"/>
    <w:rsid w:val="00FE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5FB"/>
    <w:rPr>
      <w:lang w:eastAsia="zh-CN"/>
    </w:rPr>
  </w:style>
  <w:style w:type="paragraph" w:styleId="Heading2">
    <w:name w:val="heading 2"/>
    <w:basedOn w:val="Normal"/>
    <w:next w:val="Normal"/>
    <w:qFormat/>
    <w:rsid w:val="00B751A6"/>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15FB"/>
    <w:pPr>
      <w:tabs>
        <w:tab w:val="center" w:pos="4320"/>
        <w:tab w:val="right" w:pos="8640"/>
      </w:tabs>
    </w:pPr>
  </w:style>
  <w:style w:type="paragraph" w:styleId="Footer">
    <w:name w:val="footer"/>
    <w:basedOn w:val="Normal"/>
    <w:rsid w:val="00E715FB"/>
    <w:pPr>
      <w:tabs>
        <w:tab w:val="center" w:pos="4320"/>
        <w:tab w:val="right" w:pos="8640"/>
      </w:tabs>
    </w:pPr>
  </w:style>
  <w:style w:type="character" w:styleId="PageNumber">
    <w:name w:val="page number"/>
    <w:basedOn w:val="DefaultParagraphFont"/>
    <w:rsid w:val="00E715FB"/>
  </w:style>
  <w:style w:type="table" w:styleId="TableGrid">
    <w:name w:val="Table Grid"/>
    <w:basedOn w:val="TableNormal"/>
    <w:rsid w:val="00D5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6F75"/>
    <w:rPr>
      <w:rFonts w:ascii="Tahoma" w:hAnsi="Tahoma" w:cs="Tahoma"/>
      <w:sz w:val="16"/>
      <w:szCs w:val="16"/>
    </w:rPr>
  </w:style>
  <w:style w:type="paragraph" w:styleId="DocumentMap">
    <w:name w:val="Document Map"/>
    <w:basedOn w:val="Normal"/>
    <w:semiHidden/>
    <w:rsid w:val="00056F75"/>
    <w:pPr>
      <w:shd w:val="clear" w:color="auto" w:fill="000080"/>
    </w:pPr>
    <w:rPr>
      <w:rFonts w:ascii="Tahoma" w:hAnsi="Tahoma" w:cs="Tahoma"/>
    </w:rPr>
  </w:style>
  <w:style w:type="paragraph" w:styleId="Title">
    <w:name w:val="Title"/>
    <w:basedOn w:val="Normal"/>
    <w:qFormat/>
    <w:rsid w:val="00B751A6"/>
    <w:pPr>
      <w:jc w:val="center"/>
    </w:pPr>
    <w:rPr>
      <w:rFonts w:ascii="Arial Rounded MT Bold" w:hAnsi="Arial Rounded MT Bold" w:cs="Arial Rounded MT Bold"/>
      <w:sz w:val="28"/>
      <w:szCs w:val="28"/>
      <w:lang w:eastAsia="en-US"/>
    </w:rPr>
  </w:style>
  <w:style w:type="character" w:customStyle="1" w:styleId="grame">
    <w:name w:val="grame"/>
    <w:basedOn w:val="DefaultParagraphFont"/>
    <w:rsid w:val="00746D4F"/>
  </w:style>
  <w:style w:type="character" w:styleId="Hyperlink">
    <w:name w:val="Hyperlink"/>
    <w:rsid w:val="00CB647D"/>
    <w:rPr>
      <w:color w:val="0000FF"/>
      <w:u w:val="single"/>
    </w:rPr>
  </w:style>
  <w:style w:type="paragraph" w:styleId="ListParagraph">
    <w:name w:val="List Paragraph"/>
    <w:basedOn w:val="Normal"/>
    <w:uiPriority w:val="72"/>
    <w:rsid w:val="00CE7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2">
    <w:name w:val="heading 2"/>
    <w:basedOn w:val="Normal"/>
    <w:next w:val="Normal"/>
    <w:qFormat/>
    <w:rsid w:val="00B751A6"/>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5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6F75"/>
    <w:rPr>
      <w:rFonts w:ascii="Tahoma" w:hAnsi="Tahoma" w:cs="Tahoma"/>
      <w:sz w:val="16"/>
      <w:szCs w:val="16"/>
    </w:rPr>
  </w:style>
  <w:style w:type="paragraph" w:styleId="DocumentMap">
    <w:name w:val="Document Map"/>
    <w:basedOn w:val="Normal"/>
    <w:semiHidden/>
    <w:rsid w:val="00056F75"/>
    <w:pPr>
      <w:shd w:val="clear" w:color="auto" w:fill="000080"/>
    </w:pPr>
    <w:rPr>
      <w:rFonts w:ascii="Tahoma" w:hAnsi="Tahoma" w:cs="Tahoma"/>
    </w:rPr>
  </w:style>
  <w:style w:type="paragraph" w:styleId="Title">
    <w:name w:val="Title"/>
    <w:basedOn w:val="Normal"/>
    <w:qFormat/>
    <w:rsid w:val="00B751A6"/>
    <w:pPr>
      <w:jc w:val="center"/>
    </w:pPr>
    <w:rPr>
      <w:rFonts w:ascii="Arial Rounded MT Bold" w:hAnsi="Arial Rounded MT Bold" w:cs="Arial Rounded MT Bold"/>
      <w:sz w:val="28"/>
      <w:szCs w:val="28"/>
      <w:lang w:eastAsia="en-US"/>
    </w:rPr>
  </w:style>
  <w:style w:type="character" w:customStyle="1" w:styleId="grame">
    <w:name w:val="grame"/>
    <w:basedOn w:val="DefaultParagraphFont"/>
    <w:rsid w:val="00746D4F"/>
  </w:style>
  <w:style w:type="character" w:styleId="Hyperlink">
    <w:name w:val="Hyperlink"/>
    <w:rsid w:val="00CB647D"/>
    <w:rPr>
      <w:color w:val="0000FF"/>
      <w:u w:val="single"/>
    </w:rPr>
  </w:style>
  <w:style w:type="paragraph" w:styleId="ListParagraph">
    <w:name w:val="List Paragraph"/>
    <w:basedOn w:val="Normal"/>
    <w:uiPriority w:val="72"/>
    <w:rsid w:val="00CE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museumlond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645</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 Lesson Planning Template</vt:lpstr>
    </vt:vector>
  </TitlesOfParts>
  <Company>Educational Access</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Lesson Planning Template</dc:title>
  <dc:subject/>
  <dc:creator>David Watson</dc:creator>
  <cp:keywords/>
  <dc:description/>
  <cp:lastModifiedBy>Mavers, Steven</cp:lastModifiedBy>
  <cp:revision>12</cp:revision>
  <dcterms:created xsi:type="dcterms:W3CDTF">2013-05-06T18:35:00Z</dcterms:created>
  <dcterms:modified xsi:type="dcterms:W3CDTF">2013-08-14T18:57:00Z</dcterms:modified>
</cp:coreProperties>
</file>